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rtl/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rtl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מחסנית בשפת אסמבלי</w:t>
      </w:r>
      <w:r>
        <w:rPr>
          <w:rtl/>
          <w:position w:val="0"/>
          <w:sz w:val="20"/>
          <w:szCs w:val="20"/>
          <w:rFonts w:ascii="Times New Roman" w:eastAsia="Times New Roman" w:hAnsi="Times New Roman" w:hint="default"/>
        </w:rPr>
        <w:t>י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מקטע זיכרון בגודל שהוגדר בראש התוכנית.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מיועד לשמור נתונים זמניים בעזרת פונקציות מיוחדות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pop push call ret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כל תא במחסנית הוא בגודל 2 בתים (מילה)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>SS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אוגר מיוחד מצביע על הכתובת בזיכרון שבה שמורה המחסנית . אין לכתובת זו משמעות 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מיוחדת - זהו רק הבסיס של הסגמנט כמו שיש אוגרים שמצביעים על תחילת הדטה 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סגמנט והקוד סגמנט.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    SP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אוגר מיוחד שמכיל את הכתובת של האיבר האחרון שהוכנס למחסנית (למעשה אופסט 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מהאוגר הנ”ל). ערכו ההתחלתי גודל המחסנית (כלומר בית אחד מעל המחסנית) אם 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המחסנית בגודל 100 יצביע בהתחלה לבית 100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>00-</w:t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t>-FF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כאשר תאי המחסנית הם בכתובות 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push x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>sp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פקודה שקודם כל מורידה 2 מערכו של 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ואז מכניסה את ערכו של איקס לכתובת שאליה הוא מצביע לאחר ההורדה.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pop y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>sp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פקודה שלוקחת את הערך עליו מצביע 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ומעלה את ערכו (של אס פי) ב-2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t>y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הערך שנלקח ניכנס ל 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>x,y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בגודל מילה (אוגר, או תא בזיכרון או קבוע )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t>pop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לא יכול להיות קבוע ב 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חשוב לזכור שהאוגר אס פי הוא זה שקובע לאן יכנס ערך ומהיכן יצא בפקודות: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pop, push</w:t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t xml:space="preserve">חשוב גם לזכור שהערכים במחסנית אינם יוצאים, אלא נשארים אפילו אם נעשה:</w:t>
      </w:r>
      <w:r>
        <w:rPr>
          <w:rtl/>
          <w:position w:val="0"/>
          <w:sz w:val="28"/>
          <w:szCs w:val="28"/>
          <w:rFonts w:ascii="Times New Roman" w:eastAsia="Times New Roman" w:hAnsi="Times New Roman" w:hint="default"/>
        </w:rPr>
        <w:br/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t>pop</w:t>
      </w: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rtl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right"/>
        <w:spacing w:lineRule="auto" w:line="259" w:before="0" w:after="16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0"/>
      <w:szCs w:val="20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0"/>
      <w:szCs w:val="20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0"/>
      <w:szCs w:val="20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0"/>
      <w:szCs w:val="20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0"/>
      <w:szCs w:val="20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0"/>
      <w:szCs w:val="20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0"/>
      <w:szCs w:val="20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0"/>
      <w:szCs w:val="20"/>
      <w:w w:val="100"/>
    </w:rPr>
  </w:style>
  <w:style w:styleId="PO18" w:type="character">
    <w:name w:val="Emphasis"/>
    <w:qFormat/>
    <w:uiPriority w:val="18"/>
    <w:rPr>
      <w:i/>
      <w:shd w:val="clear"/>
      <w:sz w:val="20"/>
      <w:szCs w:val="20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0"/>
      <w:szCs w:val="20"/>
      <w:w w:val="100"/>
    </w:rPr>
  </w:style>
  <w:style w:styleId="PO20" w:type="character">
    <w:name w:val="Strong"/>
    <w:qFormat/>
    <w:uiPriority w:val="20"/>
    <w:rPr>
      <w:b/>
      <w:shd w:val="clear"/>
      <w:sz w:val="20"/>
      <w:szCs w:val="20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0"/>
      <w:szCs w:val="20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0"/>
      <w:szCs w:val="20"/>
      <w:w w:val="100"/>
    </w:rPr>
  </w:style>
  <w:style w:styleId="PO25" w:type="character">
    <w:name w:val="Book Title"/>
    <w:qFormat/>
    <w:uiPriority w:val="25"/>
    <w:rPr>
      <w:i/>
      <w:b/>
      <w:shd w:val="clear"/>
      <w:sz w:val="20"/>
      <w:szCs w:val="20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150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js3104</dc:creator>
  <cp:lastModifiedBy>js3104</cp:lastModifiedBy>
</cp:coreProperties>
</file>